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19" w:rsidRPr="00C63519" w:rsidRDefault="00C63519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>
        <w:proofErr w:type="spellStart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C63519">
        <w:rPr>
          <w:rFonts w:ascii="Times New Roman" w:hAnsi="Times New Roman" w:cs="Times New Roman"/>
          <w:sz w:val="28"/>
          <w:szCs w:val="28"/>
        </w:rPr>
        <w:br/>
      </w:r>
    </w:p>
    <w:p w:rsidR="00C63519" w:rsidRPr="00C63519" w:rsidRDefault="00C6351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63519" w:rsidRPr="00C6351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63519" w:rsidRPr="00C63519" w:rsidRDefault="00C6351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351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C6351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| Готовое решение | </w:t>
            </w:r>
            <w:r w:rsidRPr="00C63519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Актуально на 18.04.2025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519" w:rsidRPr="00C63519" w:rsidRDefault="00C63519">
      <w:pPr>
        <w:pStyle w:val="ConsPlusNormal"/>
        <w:spacing w:before="480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b/>
          <w:sz w:val="28"/>
          <w:szCs w:val="28"/>
        </w:rPr>
        <w:t>Как провести обучение оказанию первой помощи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80"/>
        <w:gridCol w:w="8935"/>
        <w:gridCol w:w="180"/>
      </w:tblGrid>
      <w:tr w:rsidR="00C63519" w:rsidRPr="00C6351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63519" w:rsidRPr="00C63519" w:rsidRDefault="00C635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3519">
              <w:rPr>
                <w:rFonts w:ascii="Times New Roman" w:hAnsi="Times New Roman" w:cs="Times New Roman"/>
                <w:sz w:val="28"/>
                <w:szCs w:val="28"/>
              </w:rPr>
              <w:t>Обучение по оказанию</w:t>
            </w:r>
            <w:proofErr w:type="gramEnd"/>
            <w:r w:rsidRPr="00C63519">
              <w:rPr>
                <w:rFonts w:ascii="Times New Roman" w:hAnsi="Times New Roman" w:cs="Times New Roman"/>
                <w:sz w:val="28"/>
                <w:szCs w:val="28"/>
              </w:rPr>
              <w:t xml:space="preserve"> первой помощи пострадавшим в отношении некоторых категорий работников является обязательным.</w:t>
            </w:r>
          </w:p>
          <w:p w:rsidR="00C63519" w:rsidRPr="00C63519" w:rsidRDefault="00C635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519">
              <w:rPr>
                <w:rFonts w:ascii="Times New Roman" w:hAnsi="Times New Roman" w:cs="Times New Roman"/>
                <w:sz w:val="28"/>
                <w:szCs w:val="28"/>
              </w:rPr>
              <w:t>Обучение возможно как у работодателя, так и в сторонней организации (ИП).</w:t>
            </w:r>
          </w:p>
          <w:p w:rsidR="00C63519" w:rsidRPr="00C63519" w:rsidRDefault="00C635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519">
              <w:rPr>
                <w:rFonts w:ascii="Times New Roman" w:hAnsi="Times New Roman" w:cs="Times New Roman"/>
                <w:sz w:val="28"/>
                <w:szCs w:val="28"/>
              </w:rPr>
              <w:t>Обучение проводится не реже одного раза в три года.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519" w:rsidRPr="00C63519" w:rsidRDefault="00C63519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C63519" w:rsidRPr="00C63519" w:rsidRDefault="00C63519">
      <w:pPr>
        <w:pStyle w:val="ConsPlusNormal"/>
        <w:spacing w:before="340"/>
        <w:ind w:left="180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Какие работники проходят </w:t>
        </w:r>
        <w:proofErr w:type="gramStart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обучение по оказанию</w:t>
        </w:r>
        <w:proofErr w:type="gramEnd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первой помощи пострадавшим</w:t>
        </w:r>
      </w:hyperlink>
    </w:p>
    <w:p w:rsidR="00C63519" w:rsidRPr="00C63519" w:rsidRDefault="00C63519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Кто проводит </w:t>
        </w:r>
        <w:proofErr w:type="gramStart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обучение работников по оказанию</w:t>
        </w:r>
        <w:proofErr w:type="gramEnd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первой помощи пострадавшим</w:t>
        </w:r>
      </w:hyperlink>
    </w:p>
    <w:p w:rsidR="00C63519" w:rsidRPr="00C63519" w:rsidRDefault="00C63519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4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Каков порядок </w:t>
        </w:r>
        <w:proofErr w:type="gramStart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обучения по оказанию</w:t>
        </w:r>
        <w:proofErr w:type="gramEnd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первой помощи пострадавшим</w:t>
        </w:r>
      </w:hyperlink>
    </w:p>
    <w:p w:rsidR="00C63519" w:rsidRPr="00C63519" w:rsidRDefault="00C63519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6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Как проводится проверка знания требований охраны труда по вопросам оказания первой помощи пострадавшим</w:t>
        </w:r>
      </w:hyperlink>
    </w:p>
    <w:p w:rsidR="00C63519" w:rsidRPr="00C63519" w:rsidRDefault="00C63519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C63519">
        <w:rPr>
          <w:rFonts w:ascii="Times New Roman" w:hAnsi="Times New Roman" w:cs="Times New Roman"/>
          <w:b/>
          <w:sz w:val="28"/>
          <w:szCs w:val="28"/>
        </w:rPr>
        <w:t xml:space="preserve">1. Какие работники проходят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 пострадавшим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должны проходить следующие категории работников (</w:t>
      </w:r>
      <w:proofErr w:type="spellStart"/>
      <w:r w:rsidR="00747FF8" w:rsidRPr="00C63519">
        <w:rPr>
          <w:rFonts w:ascii="Times New Roman" w:hAnsi="Times New Roman" w:cs="Times New Roman"/>
          <w:sz w:val="28"/>
          <w:szCs w:val="28"/>
        </w:rPr>
        <w:fldChar w:fldCharType="begin"/>
      </w:r>
      <w:r w:rsidRPr="00C63519">
        <w:rPr>
          <w:rFonts w:ascii="Times New Roman" w:hAnsi="Times New Roman" w:cs="Times New Roman"/>
          <w:sz w:val="28"/>
          <w:szCs w:val="28"/>
        </w:rPr>
        <w:instrText>HYPERLINK "https://login.consultant.ru/link/?req=doc&amp;base=LAW&amp;n=478737&amp;dst=100082" \h</w:instrText>
      </w:r>
      <w:r w:rsidR="00747FF8" w:rsidRPr="00C63519">
        <w:rPr>
          <w:rFonts w:ascii="Times New Roman" w:hAnsi="Times New Roman" w:cs="Times New Roman"/>
          <w:sz w:val="28"/>
          <w:szCs w:val="28"/>
        </w:rPr>
        <w:fldChar w:fldCharType="separate"/>
      </w:r>
      <w:r w:rsidRPr="00C63519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C63519">
        <w:rPr>
          <w:rFonts w:ascii="Times New Roman" w:hAnsi="Times New Roman" w:cs="Times New Roman"/>
          <w:color w:val="0000FF"/>
          <w:sz w:val="28"/>
          <w:szCs w:val="28"/>
        </w:rPr>
        <w:t>. "а"</w:t>
      </w:r>
      <w:r w:rsidR="00747FF8" w:rsidRPr="00C63519">
        <w:rPr>
          <w:rFonts w:ascii="Times New Roman" w:hAnsi="Times New Roman" w:cs="Times New Roman"/>
          <w:sz w:val="28"/>
          <w:szCs w:val="28"/>
        </w:rPr>
        <w:fldChar w:fldCharType="end"/>
      </w:r>
      <w:r w:rsidRPr="00C63519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"е" п. 33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труда):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работники, на которых вашим приказом возложены обязанности по проведению инструктажа по охране труда, включающего вопросы оказания первой помощи пострадавшим, до допуска их к проведению такого инструктажа;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работники рабочих профессий;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лица, которые обязаны оказывать первую помощь пострадавшим согласно требованиям нормативных правовых актов;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работники с трудовыми функциями управления автотранспортным средством;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lastRenderedPageBreak/>
        <w:t>работники, к компетенциям которых нормативными правовыми актами по охране труда предъявляются требования уметь оказывать первую помощь пострадавшим;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председатель (заместители председателя) и члены комиссий по проверке знания требований охраны труда по вопросам оказания первой помощи пострадавшим;</w:t>
      </w:r>
    </w:p>
    <w:p w:rsidR="00C63519" w:rsidRPr="00C63519" w:rsidRDefault="00C63519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лица, проводящие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пострадавшим, специалисты по охране труда, а также члены комитетов (комиссий) по охране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По вашему решению обучение может проводиться и для других работников (</w:t>
      </w:r>
      <w:proofErr w:type="spellStart"/>
      <w:r w:rsidR="00747FF8" w:rsidRPr="00C63519">
        <w:rPr>
          <w:rFonts w:ascii="Times New Roman" w:hAnsi="Times New Roman" w:cs="Times New Roman"/>
          <w:sz w:val="28"/>
          <w:szCs w:val="28"/>
        </w:rPr>
        <w:fldChar w:fldCharType="begin"/>
      </w:r>
      <w:r w:rsidRPr="00C63519">
        <w:rPr>
          <w:rFonts w:ascii="Times New Roman" w:hAnsi="Times New Roman" w:cs="Times New Roman"/>
          <w:sz w:val="28"/>
          <w:szCs w:val="28"/>
        </w:rPr>
        <w:instrText>HYPERLINK "https://login.consultant.ru/link/?req=doc&amp;base=LAW&amp;n=478737&amp;dst=100088" \h</w:instrText>
      </w:r>
      <w:r w:rsidR="00747FF8" w:rsidRPr="00C63519">
        <w:rPr>
          <w:rFonts w:ascii="Times New Roman" w:hAnsi="Times New Roman" w:cs="Times New Roman"/>
          <w:sz w:val="28"/>
          <w:szCs w:val="28"/>
        </w:rPr>
        <w:fldChar w:fldCharType="separate"/>
      </w:r>
      <w:r w:rsidRPr="00C63519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C63519">
        <w:rPr>
          <w:rFonts w:ascii="Times New Roman" w:hAnsi="Times New Roman" w:cs="Times New Roman"/>
          <w:color w:val="0000FF"/>
          <w:sz w:val="28"/>
          <w:szCs w:val="28"/>
        </w:rPr>
        <w:t>. "ж" п. 33</w:t>
      </w:r>
      <w:r w:rsidR="00747FF8" w:rsidRPr="00C63519">
        <w:rPr>
          <w:rFonts w:ascii="Times New Roman" w:hAnsi="Times New Roman" w:cs="Times New Roman"/>
          <w:sz w:val="28"/>
          <w:szCs w:val="28"/>
        </w:rPr>
        <w:fldChar w:fldCharType="end"/>
      </w:r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b/>
          <w:sz w:val="28"/>
          <w:szCs w:val="28"/>
        </w:rPr>
        <w:t xml:space="preserve">Периодичность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</w:t>
      </w:r>
      <w:r w:rsidRPr="00C63519">
        <w:rPr>
          <w:rFonts w:ascii="Times New Roman" w:hAnsi="Times New Roman" w:cs="Times New Roman"/>
          <w:sz w:val="28"/>
          <w:szCs w:val="28"/>
        </w:rPr>
        <w:t xml:space="preserve"> должна быть не реже одного раза в три года.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Вновь принимаемые работники и работники, которые переводятся на другую работу, должны пройти такое обучение в установленные вами сроки. Они не должны превышать 60 календарных дней после заключения трудового договора (перевода на другую работу). Однако если работник, который переводится на другую должность, уже прошел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помощи, а условия его труда и идентифицированные источники опасности не меняются, то повторно проходить обучение не требуется.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7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п. 7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36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C63519">
        <w:rPr>
          <w:rFonts w:ascii="Times New Roman" w:hAnsi="Times New Roman" w:cs="Times New Roman"/>
          <w:b/>
          <w:sz w:val="28"/>
          <w:szCs w:val="28"/>
        </w:rPr>
        <w:t xml:space="preserve">2. Кто проводит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обучение работников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 пострадавшим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 xml:space="preserve">Минтруд России указал, что в целях организации работодателем обучения по оказанию первой помощи пострадавшим своих работников лица, привлекаемые для организации обучения работников по программе оказания первой помощи пострадавшим, должны соответствовать требованиям, установленными </w:t>
      </w:r>
      <w:hyperlink r:id="rId9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35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(</w:t>
      </w:r>
      <w:hyperlink r:id="rId1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Минтруда России от 22.09.2022 N 15-2/ООГ-2333).</w:t>
      </w:r>
      <w:proofErr w:type="gramEnd"/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Обучение может проводить (</w:t>
      </w:r>
      <w:hyperlink r:id="rId11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35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труда):</w:t>
      </w:r>
    </w:p>
    <w:p w:rsidR="00C63519" w:rsidRPr="00C63519" w:rsidRDefault="00C63519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сторонняя организация (ИП), которая оказывает услуги по обучению работодателей и работников вопросам охраны труда. Такая организация (ИП) должна соответствовать определенным </w:t>
      </w:r>
      <w:hyperlink r:id="rId12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Требованиям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в частности иметь </w:t>
      </w:r>
      <w:hyperlink r:id="rId13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аккредитацию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труда);</w:t>
      </w:r>
    </w:p>
    <w:p w:rsidR="00C63519" w:rsidRPr="00C63519" w:rsidRDefault="00C63519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сам работодатель. Для этого работодатель привлекает работников или иных специалистов, которые имеют подготовку по оказанию первой помощи. Такая подготовка должна соответствовать </w:t>
      </w:r>
      <w:hyperlink r:id="rId15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 xml:space="preserve">специальным </w:t>
        </w:r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критериям</w:t>
        </w:r>
      </w:hyperlink>
      <w:r w:rsidRPr="00C63519">
        <w:rPr>
          <w:rFonts w:ascii="Times New Roman" w:hAnsi="Times New Roman" w:cs="Times New Roman"/>
          <w:sz w:val="28"/>
          <w:szCs w:val="28"/>
        </w:rPr>
        <w:t>. Например, ее объем должен быть не менее 8 часов (</w:t>
      </w:r>
      <w:hyperlink r:id="rId1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8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Письма Минтруда России от 30.05.2022 N 15-2/В-1677).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Вы вправе осуществлять обучение своих работников самостоятельно, если соответствуете установленным для этого </w:t>
      </w:r>
      <w:hyperlink w:anchor="P5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правилам</w:t>
        </w:r>
      </w:hyperlink>
      <w:r w:rsidRPr="00C63519">
        <w:rPr>
          <w:rFonts w:ascii="Times New Roman" w:hAnsi="Times New Roman" w:cs="Times New Roman"/>
          <w:sz w:val="28"/>
          <w:szCs w:val="28"/>
        </w:rPr>
        <w:t>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b/>
          <w:sz w:val="28"/>
          <w:szCs w:val="28"/>
        </w:rPr>
        <w:t xml:space="preserve">2.1. Какие есть особенности организации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 пострадавшим на </w:t>
      </w:r>
      <w:proofErr w:type="spellStart"/>
      <w:r w:rsidRPr="00C63519">
        <w:rPr>
          <w:rFonts w:ascii="Times New Roman" w:hAnsi="Times New Roman" w:cs="Times New Roman"/>
          <w:b/>
          <w:sz w:val="28"/>
          <w:szCs w:val="28"/>
        </w:rPr>
        <w:t>микропредприятии</w:t>
      </w:r>
      <w:proofErr w:type="spellEnd"/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3519">
        <w:rPr>
          <w:rFonts w:ascii="Times New Roman" w:hAnsi="Times New Roman" w:cs="Times New Roman"/>
          <w:sz w:val="28"/>
          <w:szCs w:val="28"/>
        </w:rPr>
        <w:t>Работодатели-микропредприятия</w:t>
      </w:r>
      <w:proofErr w:type="spellEnd"/>
      <w:r w:rsidRPr="00C63519">
        <w:rPr>
          <w:rFonts w:ascii="Times New Roman" w:hAnsi="Times New Roman" w:cs="Times New Roman"/>
          <w:sz w:val="28"/>
          <w:szCs w:val="28"/>
        </w:rPr>
        <w:t xml:space="preserve"> могут проводить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упрощенно - только в рамках инструктажа по охране труда на рабочем месте.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Решение о проведении такого обучения принимаете вы. При этом учитывается минимальное количество работников, подлежащих обучению требованиям охраны труда в организации (ИП), которая оказывает услуги по обучению работодателей и работников по вопросам охраны труда, исходя из среднесписочной численности и категории риска организации, которое установлено </w:t>
      </w:r>
      <w:hyperlink r:id="rId17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4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к Правилам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 При определении среднесписочной численности </w:t>
      </w:r>
      <w:hyperlink r:id="rId1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не учитываются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работники, которые выполняют трудовую функцию дистанционно на постоянной основе.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19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100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C63519">
        <w:rPr>
          <w:rFonts w:ascii="Times New Roman" w:hAnsi="Times New Roman" w:cs="Times New Roman"/>
          <w:b/>
          <w:sz w:val="28"/>
          <w:szCs w:val="28"/>
        </w:rPr>
        <w:t xml:space="preserve">3. Каков порядок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 пострадавшим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может проводиться в одном из следующих форматов:</w:t>
      </w:r>
    </w:p>
    <w:p w:rsidR="00C63519" w:rsidRPr="00C63519" w:rsidRDefault="00C63519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совмещение с обучением требованиям охраны труда у работодателя или в сторонней организации (ИП). В этом случае темы по оказанию первой помощи пострадавшим необходимо включить в программы обучения требованиям охраны труда;</w:t>
      </w:r>
    </w:p>
    <w:p w:rsidR="00C63519" w:rsidRPr="00C63519" w:rsidRDefault="00C63519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 виде </w:t>
      </w:r>
      <w:hyperlink r:id="rId2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самостоятельного процесса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обучения. В данном случае должны быть разработаны отдельные программы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пострадавшим. Следует учесть, что программы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должны быть разработаны с учетом примерных </w:t>
      </w:r>
      <w:hyperlink r:id="rId21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тем</w:t>
        </w:r>
      </w:hyperlink>
      <w:r w:rsidRPr="00C63519">
        <w:rPr>
          <w:rFonts w:ascii="Times New Roman" w:hAnsi="Times New Roman" w:cs="Times New Roman"/>
          <w:sz w:val="28"/>
          <w:szCs w:val="28"/>
        </w:rPr>
        <w:t>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Некоторые категории работников (лиц) должны проходить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 организации (ИП), оказывающей услуги по обучению работодателей и работников вопросам охраны труда. Это касается:</w:t>
      </w:r>
    </w:p>
    <w:p w:rsidR="00C63519" w:rsidRPr="00C63519" w:rsidRDefault="00C63519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председателя (заместителей председателя) и членов комиссий по </w:t>
      </w:r>
      <w:r w:rsidRPr="00C63519">
        <w:rPr>
          <w:rFonts w:ascii="Times New Roman" w:hAnsi="Times New Roman" w:cs="Times New Roman"/>
          <w:sz w:val="28"/>
          <w:szCs w:val="28"/>
        </w:rPr>
        <w:lastRenderedPageBreak/>
        <w:t>проверке знания требований охраны труда по вопросам оказания первой помощи пострадавшим;</w:t>
      </w:r>
    </w:p>
    <w:p w:rsidR="00C63519" w:rsidRPr="00C63519" w:rsidRDefault="00C63519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лиц, которые проводят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пострадавшим;</w:t>
      </w:r>
    </w:p>
    <w:p w:rsidR="00C63519" w:rsidRPr="00C63519" w:rsidRDefault="00C63519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специалистов по охране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22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34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b/>
          <w:sz w:val="28"/>
          <w:szCs w:val="28"/>
        </w:rPr>
        <w:t xml:space="preserve">3.1. Разработка программы </w:t>
      </w:r>
      <w:proofErr w:type="gramStart"/>
      <w:r w:rsidRPr="00C63519">
        <w:rPr>
          <w:rFonts w:ascii="Times New Roman" w:hAnsi="Times New Roman" w:cs="Times New Roman"/>
          <w:b/>
          <w:sz w:val="28"/>
          <w:szCs w:val="28"/>
        </w:rPr>
        <w:t>обучения работников по оказанию</w:t>
      </w:r>
      <w:proofErr w:type="gramEnd"/>
      <w:r w:rsidRPr="00C63519">
        <w:rPr>
          <w:rFonts w:ascii="Times New Roman" w:hAnsi="Times New Roman" w:cs="Times New Roman"/>
          <w:b/>
          <w:sz w:val="28"/>
          <w:szCs w:val="28"/>
        </w:rPr>
        <w:t xml:space="preserve"> первой помощи пострадавшим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При составлении программы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необходимо учитывать, например, такие требования (</w:t>
      </w:r>
      <w:hyperlink r:id="rId23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36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труда):</w:t>
      </w:r>
    </w:p>
    <w:p w:rsidR="00C63519" w:rsidRPr="00C63519" w:rsidRDefault="00C63519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программа должна включать практические занятия по формированию умений и навыков оказания первой помощи пострадавшим;</w:t>
      </w:r>
    </w:p>
    <w:p w:rsidR="00C63519" w:rsidRPr="00C63519" w:rsidRDefault="00C63519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объем практических занятий должен быть не менее 50 процентов общего количества учебных часов;</w:t>
      </w:r>
    </w:p>
    <w:p w:rsidR="00C63519" w:rsidRPr="00C63519" w:rsidRDefault="00C63519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в установленных случаях программу необходимо актуализировать.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C63519">
        <w:rPr>
          <w:rFonts w:ascii="Times New Roman" w:hAnsi="Times New Roman" w:cs="Times New Roman"/>
          <w:b/>
          <w:sz w:val="28"/>
          <w:szCs w:val="28"/>
        </w:rPr>
        <w:t>3.2. Какие есть требования к обучению, которое проводится работодателем (без привлечения организаций (ИП), оказывающих услуги по обучению работодателей и работников вопросам охраны труда)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Чтобы проводить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работников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пострадавшим, вам необходимо создать соответствующие условия. В частности, вам нужно иметь (</w:t>
      </w:r>
      <w:hyperlink r:id="rId2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96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труда):</w:t>
      </w:r>
    </w:p>
    <w:p w:rsidR="00C63519" w:rsidRPr="00C63519" w:rsidRDefault="00C63519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материально-техническую базу (учебные помещения, оборудование и т.д.). Следует учитывать </w:t>
      </w:r>
      <w:hyperlink r:id="rId25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к местам обучения, например к их количеству, оснащенности;</w:t>
      </w:r>
    </w:p>
    <w:p w:rsidR="00C63519" w:rsidRPr="00C63519" w:rsidRDefault="00C63519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учебно-методическую базу (программу обучения, учебные материалы);</w:t>
      </w:r>
    </w:p>
    <w:p w:rsidR="00C63519" w:rsidRPr="00C63519" w:rsidRDefault="00C63519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лиц (не менее двух), которые могут проводить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Кроме того, учтите иные требования, которые необходимо соблюдать в связи с проведением вами такого обучения. Это касается, в частности, необходимости регистрации (согласно </w:t>
      </w:r>
      <w:hyperlink r:id="rId2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требованиям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) в реестре ИП и юридических лиц, которые осуществляют деятельность по обучению своих работников вопросам охраны труда, при условии внесения информации о вас в ваш личный кабинет в информационной системе охраны труда Минтруда </w:t>
      </w:r>
      <w:r w:rsidRPr="00C63519">
        <w:rPr>
          <w:rFonts w:ascii="Times New Roman" w:hAnsi="Times New Roman" w:cs="Times New Roman"/>
          <w:sz w:val="28"/>
          <w:szCs w:val="28"/>
        </w:rPr>
        <w:lastRenderedPageBreak/>
        <w:t>России (</w:t>
      </w:r>
      <w:hyperlink r:id="rId27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99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По мнению Минтруда России, при формировании учебного материала для программ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вы можете руководствоваться Учебно-методическим комплексом по первой помощи. Он включает разработанные Минздравом России учебные пособия "Первая помощь: учебное пособие для лиц, обязанных и (или) имеющих право оказывать первую помощь", "Первая помощь: учебное пособие для преподавателей, обучающих лиц, обязанных и (или) имеющих право оказывать первую помощь". Кроме того, вы можете руководствоваться учебным пособием "Алгоритмы первой помощи", которое размещено на официальном сайте Минздрава России (</w:t>
      </w:r>
      <w:hyperlink r:id="rId2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от 22.09.2022 N 15-2/ООГ-2333).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64"/>
      <w:bookmarkEnd w:id="4"/>
      <w:r w:rsidRPr="00C63519">
        <w:rPr>
          <w:rFonts w:ascii="Times New Roman" w:hAnsi="Times New Roman" w:cs="Times New Roman"/>
          <w:b/>
          <w:sz w:val="28"/>
          <w:szCs w:val="28"/>
        </w:rPr>
        <w:t>4. Как проводится проверка знания требований охраны труда по вопросам оказания первой помощи пострадавшим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заканчивается проверкой знания требований охраны труда по указанному вопросу в установленном </w:t>
      </w:r>
      <w:hyperlink r:id="rId29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(</w:t>
      </w:r>
      <w:hyperlink r:id="rId3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37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Если темы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включены в программы обучения требованиям охраны труда, проверку знания требований охраны труда по вопросам оказания первой помощи можно совместить с проверкой знания требований охраны труда по окончании обучения требованиям охраны труда (</w:t>
      </w:r>
      <w:hyperlink r:id="rId31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37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Проверка может проводиться как в сторонней организации (ИП), которая оказывает услуги по обучению работодателей и работников вопросам охраны труда, так и у вас.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Чтобы проверить знание требований охраны труда работников после того, как они прошли обучение по вопросам оказания первой помощи пострадавшим, нужно создать комиссию по проверке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знания требований охраны труда работников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>. В нее должны входить не менее трех человек, среди которых:</w:t>
      </w:r>
    </w:p>
    <w:p w:rsidR="00C63519" w:rsidRPr="00C63519" w:rsidRDefault="00C63519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председатель;</w:t>
      </w:r>
    </w:p>
    <w:p w:rsidR="00C63519" w:rsidRPr="00C63519" w:rsidRDefault="00C63519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его заместитель (заместители) - при необходимости;</w:t>
      </w:r>
    </w:p>
    <w:p w:rsidR="00C63519" w:rsidRPr="00C63519" w:rsidRDefault="00C63519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члены комиссии.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Касательно проверки, проводимой у вас, учтите, что в состав указанной комиссии могут входить, например, руководители и специалисты структурных подразделений, служб охраны труда, лица, проводящие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lastRenderedPageBreak/>
        <w:t>обучение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Если работники прошли обучение по программам по оказанию первой помощи пострадавшим и (или) использованию (применению)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самостоятельно (без объединения с обучением требованиям охраны труда), то можете сформировать специализированные комиссии по проверке знания ими требований охраны труда. Работники, которые входят в состав таких комиссий, проходят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>, соответствующей специализации комиссии.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Вы можете создать единую комиссию по проверке знания требований охраны труда работников, которые прошли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первой помощи пострадавшим, по использованию (применению) СИЗ и обучение требованиям охраны труда. Работники, входящие в ее состав, проходят обучение в организации (ИП), которая оказывает услуги по обучению работодателей и работников вопросам охраны труда, по всем программам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труда, предусмотренным </w:t>
      </w:r>
      <w:hyperlink r:id="rId32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п. 34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39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46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Чтобы обеспечить функционирование комиссий по проверке знания требований охраны труда работников, вам нужно направить минимальное количество работников на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 в стороннюю организацию (ИП), которая оказывает услуги по обучению работодателей и работников вопросам охраны труда. Такое количество работников определяется согласно </w:t>
      </w:r>
      <w:hyperlink r:id="rId35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Приложению N 4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по охране труда исходя, в частности, из среднесписочной численности, в которой </w:t>
      </w:r>
      <w:hyperlink r:id="rId3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не учитываются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работники, выполняющие трудовую функцию дистанционно на постоянной основе.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Результаты проверки оформляются протоколом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проверки знания требований охраны труда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>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В протоколе проверки указывается, в частности, информация:</w:t>
      </w:r>
    </w:p>
    <w:p w:rsidR="00C63519" w:rsidRPr="00C63519" w:rsidRDefault="00C63519">
      <w:pPr>
        <w:pStyle w:val="ConsPlusNormal"/>
        <w:numPr>
          <w:ilvl w:val="0"/>
          <w:numId w:val="8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о программе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 (наименование и продолжительность);</w:t>
      </w:r>
    </w:p>
    <w:p w:rsidR="00C63519" w:rsidRPr="00C63519" w:rsidRDefault="00C63519">
      <w:pPr>
        <w:pStyle w:val="ConsPlusNormal"/>
        <w:numPr>
          <w:ilvl w:val="0"/>
          <w:numId w:val="8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519">
        <w:rPr>
          <w:rFonts w:ascii="Times New Roman" w:hAnsi="Times New Roman" w:cs="Times New Roman"/>
          <w:sz w:val="28"/>
          <w:szCs w:val="28"/>
        </w:rPr>
        <w:t>работнике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>, который прошел проверку знания требований охраны труда (профессия (должность), место работы, др.);</w:t>
      </w:r>
    </w:p>
    <w:p w:rsidR="00C63519" w:rsidRPr="00C63519" w:rsidRDefault="00C63519">
      <w:pPr>
        <w:pStyle w:val="ConsPlusNormal"/>
        <w:numPr>
          <w:ilvl w:val="0"/>
          <w:numId w:val="8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результате проверки (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удовлетворительный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или неудовлетворительный).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Когда обучение по оказанию первой помощи пострадавшим и обучение по использованию (применению)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проводятся в рамках обучения требованиям охраны труда, можно оформить единый протокол проверки знания требований охраны труда работников.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Этот протокол допускается оформить на бумажном носителе или в </w:t>
      </w:r>
      <w:r w:rsidRPr="00C63519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виде. Протокол является свидетельством того, что работник прошел соответствующее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По запросу работника ему выдается протокол проверки на бумажном носителе.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Вы вправе дополнительно к протоколу выдавать успешно прошедшему проверку удостоверение о проверке знания требований охраны труда. При этом нормативным правовым актом может быть установлена необходимость выдачи такого удостоверения.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>Также нормативным правовым актом может быть установлено требование о необходимости выдачи документов о допуске к определенным видам работ и об информации, которая должна содержаться в этих документах.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Проводивший проверку знания требований охраны труда (сторонняя организация (ИП) или вы) после ее проведения передает в установленном </w:t>
      </w:r>
      <w:hyperlink r:id="rId37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соответствующие сведения (за исключением </w:t>
      </w:r>
      <w:hyperlink r:id="rId3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некоторых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) в реестр обученных лиц. Если эти сведения передаете вы, руководствуйтесь перечнем из </w:t>
      </w:r>
      <w:hyperlink r:id="rId39">
        <w:proofErr w:type="spellStart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. "б" п. 118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C63519" w:rsidRPr="00C63519" w:rsidRDefault="00C6351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63519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4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п. п. 71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72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73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76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77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85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91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92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8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93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94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, </w:t>
      </w:r>
      <w:hyperlink r:id="rId50">
        <w:r w:rsidRPr="00C63519">
          <w:rPr>
            <w:rFonts w:ascii="Times New Roman" w:hAnsi="Times New Roman" w:cs="Times New Roman"/>
            <w:color w:val="0000FF"/>
            <w:sz w:val="28"/>
            <w:szCs w:val="28"/>
          </w:rPr>
          <w:t>118</w:t>
        </w:r>
      </w:hyperlink>
      <w:r w:rsidRPr="00C6351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C63519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C63519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C63519" w:rsidRPr="00C63519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63519" w:rsidRPr="00C63519" w:rsidRDefault="00C63519" w:rsidP="00C4690F">
            <w:pPr>
              <w:pStyle w:val="ConsPlusNormal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C63519" w:rsidRPr="00C63519" w:rsidTr="00C4690F">
        <w:trPr>
          <w:trHeight w:val="814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C63519" w:rsidRPr="00C63519" w:rsidRDefault="00C635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519" w:rsidRPr="00C63519" w:rsidRDefault="00C635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19" w:rsidRPr="00C63519" w:rsidRDefault="00C63519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900A1" w:rsidRPr="00C63519" w:rsidRDefault="00D900A1">
      <w:pPr>
        <w:rPr>
          <w:rFonts w:ascii="Times New Roman" w:hAnsi="Times New Roman" w:cs="Times New Roman"/>
          <w:sz w:val="28"/>
          <w:szCs w:val="28"/>
        </w:rPr>
      </w:pPr>
    </w:p>
    <w:sectPr w:rsidR="00D900A1" w:rsidRPr="00C63519" w:rsidSect="002C5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30965"/>
    <w:multiLevelType w:val="multilevel"/>
    <w:tmpl w:val="1DB85FA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973953"/>
    <w:multiLevelType w:val="multilevel"/>
    <w:tmpl w:val="E0B8ADF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D11302"/>
    <w:multiLevelType w:val="multilevel"/>
    <w:tmpl w:val="DA0C88B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A95CA4"/>
    <w:multiLevelType w:val="multilevel"/>
    <w:tmpl w:val="7B00358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F3423"/>
    <w:multiLevelType w:val="multilevel"/>
    <w:tmpl w:val="C684376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A749DC"/>
    <w:multiLevelType w:val="multilevel"/>
    <w:tmpl w:val="7F24E7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BC02C1"/>
    <w:multiLevelType w:val="multilevel"/>
    <w:tmpl w:val="9984F21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4E244B"/>
    <w:multiLevelType w:val="multilevel"/>
    <w:tmpl w:val="FDDA354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C21A4A"/>
    <w:multiLevelType w:val="multilevel"/>
    <w:tmpl w:val="91BE8BD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19"/>
    <w:rsid w:val="00747FF8"/>
    <w:rsid w:val="00AD2094"/>
    <w:rsid w:val="00C4690F"/>
    <w:rsid w:val="00C63519"/>
    <w:rsid w:val="00D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519"/>
    <w:pPr>
      <w:widowControl w:val="0"/>
      <w:autoSpaceDE w:val="0"/>
      <w:autoSpaceDN w:val="0"/>
      <w:spacing w:after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63519"/>
    <w:pPr>
      <w:widowControl w:val="0"/>
      <w:autoSpaceDE w:val="0"/>
      <w:autoSpaceDN w:val="0"/>
      <w:spacing w:after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351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5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0907&amp;dst=100025" TargetMode="External"/><Relationship Id="rId18" Type="http://schemas.openxmlformats.org/officeDocument/2006/relationships/hyperlink" Target="https://login.consultant.ru/link/?req=doc&amp;base=LAW&amp;n=478737&amp;dst=3" TargetMode="External"/><Relationship Id="rId26" Type="http://schemas.openxmlformats.org/officeDocument/2006/relationships/hyperlink" Target="https://login.consultant.ru/link/?req=doc&amp;base=LAW&amp;n=478737&amp;dst=100223" TargetMode="External"/><Relationship Id="rId39" Type="http://schemas.openxmlformats.org/officeDocument/2006/relationships/hyperlink" Target="https://login.consultant.ru/link/?req=doc&amp;base=LAW&amp;n=478737&amp;dst=1002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8737&amp;dst=100280" TargetMode="External"/><Relationship Id="rId34" Type="http://schemas.openxmlformats.org/officeDocument/2006/relationships/hyperlink" Target="https://login.consultant.ru/link/?req=doc&amp;base=LAW&amp;n=478737&amp;dst=100105" TargetMode="External"/><Relationship Id="rId42" Type="http://schemas.openxmlformats.org/officeDocument/2006/relationships/hyperlink" Target="https://login.consultant.ru/link/?req=doc&amp;base=LAW&amp;n=478737&amp;dst=100151" TargetMode="External"/><Relationship Id="rId47" Type="http://schemas.openxmlformats.org/officeDocument/2006/relationships/hyperlink" Target="https://login.consultant.ru/link/?req=doc&amp;base=LAW&amp;n=478737&amp;dst=100194" TargetMode="External"/><Relationship Id="rId50" Type="http://schemas.openxmlformats.org/officeDocument/2006/relationships/hyperlink" Target="https://login.consultant.ru/link/?req=doc&amp;base=LAW&amp;n=478737&amp;dst=100251" TargetMode="External"/><Relationship Id="rId7" Type="http://schemas.openxmlformats.org/officeDocument/2006/relationships/hyperlink" Target="https://login.consultant.ru/link/?req=doc&amp;base=LAW&amp;n=478737&amp;dst=100032" TargetMode="External"/><Relationship Id="rId12" Type="http://schemas.openxmlformats.org/officeDocument/2006/relationships/hyperlink" Target="https://login.consultant.ru/link/?req=doc&amp;base=LAW&amp;n=470907&amp;dst=100110" TargetMode="External"/><Relationship Id="rId17" Type="http://schemas.openxmlformats.org/officeDocument/2006/relationships/hyperlink" Target="https://login.consultant.ru/link/?req=doc&amp;base=LAW&amp;n=478737&amp;dst=100382" TargetMode="External"/><Relationship Id="rId25" Type="http://schemas.openxmlformats.org/officeDocument/2006/relationships/hyperlink" Target="https://login.consultant.ru/link/?req=doc&amp;base=LAW&amp;n=478737&amp;dst=100215" TargetMode="External"/><Relationship Id="rId33" Type="http://schemas.openxmlformats.org/officeDocument/2006/relationships/hyperlink" Target="https://login.consultant.ru/link/?req=doc&amp;base=LAW&amp;n=478737&amp;dst=100095" TargetMode="External"/><Relationship Id="rId38" Type="http://schemas.openxmlformats.org/officeDocument/2006/relationships/hyperlink" Target="https://login.consultant.ru/link/?req=doc&amp;base=LAW&amp;n=478737&amp;dst=100265" TargetMode="External"/><Relationship Id="rId46" Type="http://schemas.openxmlformats.org/officeDocument/2006/relationships/hyperlink" Target="https://login.consultant.ru/link/?req=doc&amp;base=LAW&amp;n=478737&amp;dst=1001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QUEST&amp;n=211732&amp;dst=100037" TargetMode="External"/><Relationship Id="rId20" Type="http://schemas.openxmlformats.org/officeDocument/2006/relationships/hyperlink" Target="https://login.consultant.ru/link/?req=doc&amp;base=PBI&amp;n=300986&amp;dst=100003" TargetMode="External"/><Relationship Id="rId29" Type="http://schemas.openxmlformats.org/officeDocument/2006/relationships/hyperlink" Target="https://login.consultant.ru/link/?req=doc&amp;base=LAW&amp;n=478737&amp;dst=100145" TargetMode="External"/><Relationship Id="rId41" Type="http://schemas.openxmlformats.org/officeDocument/2006/relationships/hyperlink" Target="https://login.consultant.ru/link/?req=doc&amp;base=LAW&amp;n=478737&amp;dst=1001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8737&amp;dst=100087" TargetMode="External"/><Relationship Id="rId11" Type="http://schemas.openxmlformats.org/officeDocument/2006/relationships/hyperlink" Target="https://login.consultant.ru/link/?req=doc&amp;base=LAW&amp;n=478737&amp;dst=100090" TargetMode="External"/><Relationship Id="rId24" Type="http://schemas.openxmlformats.org/officeDocument/2006/relationships/hyperlink" Target="https://login.consultant.ru/link/?req=doc&amp;base=LAW&amp;n=478737&amp;dst=100210" TargetMode="External"/><Relationship Id="rId32" Type="http://schemas.openxmlformats.org/officeDocument/2006/relationships/hyperlink" Target="https://login.consultant.ru/link/?req=doc&amp;base=LAW&amp;n=478737&amp;dst=100089" TargetMode="External"/><Relationship Id="rId37" Type="http://schemas.openxmlformats.org/officeDocument/2006/relationships/hyperlink" Target="https://login.consultant.ru/link/?req=doc&amp;base=LAW&amp;n=478737&amp;dst=100264" TargetMode="External"/><Relationship Id="rId40" Type="http://schemas.openxmlformats.org/officeDocument/2006/relationships/hyperlink" Target="https://login.consultant.ru/link/?req=doc&amp;base=LAW&amp;n=478737&amp;dst=100149" TargetMode="External"/><Relationship Id="rId45" Type="http://schemas.openxmlformats.org/officeDocument/2006/relationships/hyperlink" Target="https://login.consultant.ru/link/?req=doc&amp;base=LAW&amp;n=478737&amp;dst=100164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78737&amp;dst=100090" TargetMode="External"/><Relationship Id="rId23" Type="http://schemas.openxmlformats.org/officeDocument/2006/relationships/hyperlink" Target="https://login.consultant.ru/link/?req=doc&amp;base=LAW&amp;n=478737&amp;dst=100091" TargetMode="External"/><Relationship Id="rId28" Type="http://schemas.openxmlformats.org/officeDocument/2006/relationships/hyperlink" Target="https://login.consultant.ru/link/?req=doc&amp;base=QUEST&amp;n=213741&amp;dst=100030" TargetMode="External"/><Relationship Id="rId36" Type="http://schemas.openxmlformats.org/officeDocument/2006/relationships/hyperlink" Target="https://login.consultant.ru/link/?req=doc&amp;base=LAW&amp;n=478737&amp;dst=3" TargetMode="External"/><Relationship Id="rId49" Type="http://schemas.openxmlformats.org/officeDocument/2006/relationships/hyperlink" Target="https://login.consultant.ru/link/?req=doc&amp;base=LAW&amp;n=478737&amp;dst=100205" TargetMode="External"/><Relationship Id="rId10" Type="http://schemas.openxmlformats.org/officeDocument/2006/relationships/hyperlink" Target="https://login.consultant.ru/link/?req=doc&amp;base=QUEST&amp;n=213741&amp;dst=100065" TargetMode="External"/><Relationship Id="rId19" Type="http://schemas.openxmlformats.org/officeDocument/2006/relationships/hyperlink" Target="https://login.consultant.ru/link/?req=doc&amp;base=LAW&amp;n=478737&amp;dst=100219" TargetMode="External"/><Relationship Id="rId31" Type="http://schemas.openxmlformats.org/officeDocument/2006/relationships/hyperlink" Target="https://login.consultant.ru/link/?req=doc&amp;base=LAW&amp;n=478737&amp;dst=100092" TargetMode="External"/><Relationship Id="rId44" Type="http://schemas.openxmlformats.org/officeDocument/2006/relationships/hyperlink" Target="https://login.consultant.ru/link/?req=doc&amp;base=LAW&amp;n=478737&amp;dst=100155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8737&amp;dst=100090" TargetMode="External"/><Relationship Id="rId14" Type="http://schemas.openxmlformats.org/officeDocument/2006/relationships/hyperlink" Target="https://login.consultant.ru/link/?req=doc&amp;base=LAW&amp;n=478737&amp;dst=100022" TargetMode="External"/><Relationship Id="rId22" Type="http://schemas.openxmlformats.org/officeDocument/2006/relationships/hyperlink" Target="https://login.consultant.ru/link/?req=doc&amp;base=LAW&amp;n=478737&amp;dst=100089" TargetMode="External"/><Relationship Id="rId27" Type="http://schemas.openxmlformats.org/officeDocument/2006/relationships/hyperlink" Target="https://login.consultant.ru/link/?req=doc&amp;base=LAW&amp;n=478737&amp;dst=100217" TargetMode="External"/><Relationship Id="rId30" Type="http://schemas.openxmlformats.org/officeDocument/2006/relationships/hyperlink" Target="https://login.consultant.ru/link/?req=doc&amp;base=LAW&amp;n=478737&amp;dst=100092" TargetMode="External"/><Relationship Id="rId35" Type="http://schemas.openxmlformats.org/officeDocument/2006/relationships/hyperlink" Target="https://login.consultant.ru/link/?req=doc&amp;base=LAW&amp;n=478737&amp;dst=100382" TargetMode="External"/><Relationship Id="rId43" Type="http://schemas.openxmlformats.org/officeDocument/2006/relationships/hyperlink" Target="https://login.consultant.ru/link/?req=doc&amp;base=LAW&amp;n=478737&amp;dst=100154" TargetMode="External"/><Relationship Id="rId48" Type="http://schemas.openxmlformats.org/officeDocument/2006/relationships/hyperlink" Target="https://login.consultant.ru/link/?req=doc&amp;base=LAW&amp;n=478737&amp;dst=100204" TargetMode="External"/><Relationship Id="rId8" Type="http://schemas.openxmlformats.org/officeDocument/2006/relationships/hyperlink" Target="https://login.consultant.ru/link/?req=doc&amp;base=LAW&amp;n=478737&amp;dst=100091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2551</Words>
  <Characters>14544</Characters>
  <Application>Microsoft Office Word</Application>
  <DocSecurity>0</DocSecurity>
  <Lines>121</Lines>
  <Paragraphs>34</Paragraphs>
  <ScaleCrop>false</ScaleCrop>
  <Company/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MaiorovaSV</dc:creator>
  <cp:lastModifiedBy>MaiorovaSV</cp:lastModifiedBy>
  <cp:revision>2</cp:revision>
  <dcterms:created xsi:type="dcterms:W3CDTF">2025-04-21T10:56:00Z</dcterms:created>
  <dcterms:modified xsi:type="dcterms:W3CDTF">2025-04-22T03:52:00Z</dcterms:modified>
</cp:coreProperties>
</file>